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5F77" w14:textId="77777777" w:rsidR="00E430A1" w:rsidRDefault="00E430A1" w:rsidP="00E430A1">
      <w:pPr>
        <w:widowControl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</w:p>
    <w:p w14:paraId="0D35150E" w14:textId="022AB406" w:rsidR="00E430A1" w:rsidRPr="00E430A1" w:rsidRDefault="00E430A1" w:rsidP="00E430A1">
      <w:pPr>
        <w:widowControl w:val="0"/>
        <w:spacing w:after="0" w:line="240" w:lineRule="auto"/>
        <w:ind w:left="1182" w:right="708" w:firstLine="1541"/>
        <w:jc w:val="center"/>
        <w:rPr>
          <w:rFonts w:ascii="Times New Roman" w:eastAsia="Times New Roman" w:hAnsi="Times New Roman" w:cs="Times New Roman"/>
          <w:i/>
          <w:sz w:val="24"/>
        </w:rPr>
        <w:sectPr w:rsidR="00E430A1" w:rsidRPr="00E430A1" w:rsidSect="00E430A1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 w:space="0"/>
          </w:cols>
          <w:docGrid w:linePitch="360"/>
        </w:sectPr>
      </w:pPr>
    </w:p>
    <w:p w14:paraId="2CAE2FAF" w14:textId="3B48EBC0" w:rsidR="00E430A1" w:rsidRDefault="00E430A1" w:rsidP="00E430A1">
      <w:pPr>
        <w:widowControl w:val="0"/>
        <w:spacing w:before="91" w:after="0" w:line="240" w:lineRule="auto"/>
        <w:ind w:right="74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предоставление услуги</w:t>
      </w:r>
    </w:p>
    <w:p w14:paraId="7788E69C" w14:textId="77777777" w:rsidR="00E430A1" w:rsidRDefault="00E430A1" w:rsidP="00E430A1">
      <w:pPr>
        <w:widowControl w:val="0"/>
        <w:spacing w:before="91" w:after="0" w:line="240" w:lineRule="auto"/>
        <w:ind w:right="748"/>
        <w:jc w:val="center"/>
        <w:rPr>
          <w:rFonts w:ascii="Times New Roman" w:eastAsia="Times New Roman" w:hAnsi="Times New Roman" w:cs="Times New Roman"/>
          <w:b/>
        </w:rPr>
      </w:pPr>
    </w:p>
    <w:p w14:paraId="5C43BB9F" w14:textId="2CA763D8" w:rsidR="00E430A1" w:rsidRDefault="00E430A1" w:rsidP="00E430A1">
      <w:pPr>
        <w:widowControl w:val="0"/>
        <w:spacing w:before="91" w:after="0" w:line="240" w:lineRule="auto"/>
        <w:ind w:left="567" w:right="748" w:firstLine="851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Содействие в получении разрешительной документации, в том числе проведения сертификации, декларирования,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81A418" w14:textId="77777777" w:rsidR="00E430A1" w:rsidRDefault="00E430A1" w:rsidP="00E430A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618104AF" w14:textId="77777777" w:rsidR="00E430A1" w:rsidRDefault="00E430A1" w:rsidP="00E430A1">
      <w:pPr>
        <w:widowControl w:val="0"/>
        <w:tabs>
          <w:tab w:val="left" w:pos="719"/>
          <w:tab w:val="left" w:pos="5192"/>
        </w:tabs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положения</w:t>
      </w:r>
    </w:p>
    <w:p w14:paraId="2D9D90DB" w14:textId="77777777" w:rsidR="00E430A1" w:rsidRDefault="00E430A1" w:rsidP="00E430A1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10CAEEE3" w14:textId="0AA61A7C" w:rsidR="00E430A1" w:rsidRDefault="00E430A1" w:rsidP="00E430A1">
      <w:pPr>
        <w:widowControl w:val="0"/>
        <w:numPr>
          <w:ilvl w:val="1"/>
          <w:numId w:val="3"/>
        </w:numPr>
        <w:tabs>
          <w:tab w:val="left" w:pos="1743"/>
        </w:tabs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Информация скрыта</w:t>
      </w:r>
    </w:p>
    <w:p w14:paraId="543B3F53" w14:textId="77777777" w:rsidR="00E430A1" w:rsidRDefault="00E430A1" w:rsidP="00E430A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14:paraId="7FF92A37" w14:textId="77777777" w:rsidR="00E430A1" w:rsidRDefault="00E430A1" w:rsidP="00E430A1">
      <w:pPr>
        <w:widowControl w:val="0"/>
        <w:numPr>
          <w:ilvl w:val="1"/>
          <w:numId w:val="3"/>
        </w:numPr>
        <w:tabs>
          <w:tab w:val="left" w:pos="1743"/>
        </w:tabs>
        <w:spacing w:before="91" w:after="0" w:line="240" w:lineRule="auto"/>
        <w:ind w:right="521"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Расширение ассортимента выпускаемой продукции, а именно комплектные устройства управления (пульты управления, шкафы управления), участие в госзакупках по ФЗ РФ 223 и ФЗ РФ 44, увеличение объема продаж</w:t>
      </w:r>
    </w:p>
    <w:p w14:paraId="7C0CEC65" w14:textId="77777777" w:rsidR="00E430A1" w:rsidRDefault="00E430A1" w:rsidP="00E430A1">
      <w:pPr>
        <w:pStyle w:val="a3"/>
        <w:rPr>
          <w:rFonts w:ascii="Times New Roman" w:eastAsia="Times New Roman" w:hAnsi="Times New Roman" w:cs="Times New Roman"/>
          <w:i/>
          <w:szCs w:val="28"/>
        </w:rPr>
      </w:pPr>
    </w:p>
    <w:p w14:paraId="14D582BC" w14:textId="77777777" w:rsidR="00E430A1" w:rsidRDefault="00E430A1" w:rsidP="00E430A1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14:paraId="5E05186C" w14:textId="77777777" w:rsidR="00E430A1" w:rsidRDefault="00E430A1" w:rsidP="00E430A1">
      <w:pPr>
        <w:widowControl w:val="0"/>
        <w:numPr>
          <w:ilvl w:val="1"/>
          <w:numId w:val="3"/>
        </w:numPr>
        <w:tabs>
          <w:tab w:val="left" w:pos="1697"/>
        </w:tabs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НКУ (низковольтные комплектные устройства)</w:t>
      </w:r>
    </w:p>
    <w:p w14:paraId="16D5D109" w14:textId="77777777" w:rsidR="00E430A1" w:rsidRDefault="00E430A1" w:rsidP="00E430A1">
      <w:pPr>
        <w:pStyle w:val="a3"/>
        <w:rPr>
          <w:rFonts w:ascii="Times New Roman" w:eastAsia="Times New Roman" w:hAnsi="Times New Roman" w:cs="Times New Roman"/>
          <w:b/>
        </w:rPr>
      </w:pPr>
    </w:p>
    <w:p w14:paraId="0486D4EF" w14:textId="77777777" w:rsidR="00E430A1" w:rsidRDefault="00E430A1" w:rsidP="00E430A1">
      <w:pPr>
        <w:widowControl w:val="0"/>
        <w:tabs>
          <w:tab w:val="left" w:pos="719"/>
          <w:tab w:val="left" w:pos="3865"/>
        </w:tabs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</w:p>
    <w:p w14:paraId="43A3854E" w14:textId="77777777" w:rsidR="00E430A1" w:rsidRDefault="00E430A1" w:rsidP="00E430A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733DC8D1" w14:textId="77777777" w:rsidR="00E430A1" w:rsidRDefault="00E430A1" w:rsidP="00E430A1">
      <w:pPr>
        <w:widowControl w:val="0"/>
        <w:numPr>
          <w:ilvl w:val="1"/>
          <w:numId w:val="2"/>
        </w:numPr>
        <w:tabs>
          <w:tab w:val="left" w:pos="1697"/>
        </w:tabs>
        <w:spacing w:before="9" w:after="0" w:line="240" w:lineRule="auto"/>
        <w:ind w:hanging="378"/>
        <w:rPr>
          <w:rFonts w:ascii="Times New Roman" w:eastAsia="Times New Roman" w:hAnsi="Times New Roman" w:cs="Times New Roman"/>
          <w:i/>
          <w:sz w:val="20"/>
          <w:szCs w:val="28"/>
        </w:rPr>
      </w:pPr>
      <w:r>
        <w:rPr>
          <w:rFonts w:ascii="Times New Roman" w:eastAsia="Times New Roman" w:hAnsi="Times New Roman" w:cs="Times New Roman"/>
          <w:i/>
          <w:spacing w:val="-3"/>
        </w:rPr>
        <w:t>Разработка технических условий на продукцию, определение требований к продукции.</w:t>
      </w:r>
    </w:p>
    <w:p w14:paraId="244DDEB5" w14:textId="77777777" w:rsidR="00E430A1" w:rsidRDefault="00E430A1" w:rsidP="00E430A1">
      <w:pPr>
        <w:widowControl w:val="0"/>
        <w:tabs>
          <w:tab w:val="left" w:pos="1697"/>
        </w:tabs>
        <w:spacing w:before="9" w:after="0" w:line="240" w:lineRule="auto"/>
        <w:ind w:left="1696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A658511" w14:textId="77777777" w:rsidR="00E430A1" w:rsidRDefault="00E430A1" w:rsidP="00E430A1">
      <w:pPr>
        <w:widowControl w:val="0"/>
        <w:numPr>
          <w:ilvl w:val="1"/>
          <w:numId w:val="2"/>
        </w:numPr>
        <w:tabs>
          <w:tab w:val="left" w:pos="1716"/>
        </w:tabs>
        <w:spacing w:after="0" w:line="276" w:lineRule="auto"/>
        <w:ind w:right="701"/>
        <w:rPr>
          <w:rFonts w:ascii="Times New Roman" w:eastAsia="Times New Roman" w:hAnsi="Times New Roman" w:cs="Times New Roman"/>
          <w:i/>
          <w:spacing w:val="-3"/>
        </w:rPr>
      </w:pPr>
      <w:r>
        <w:rPr>
          <w:rFonts w:ascii="Times New Roman" w:eastAsia="Times New Roman" w:hAnsi="Times New Roman" w:cs="Times New Roman"/>
          <w:i/>
          <w:spacing w:val="-3"/>
        </w:rPr>
        <w:t>Продукция, выпускаемая в обращении по разработанным техническим условиям, должна соответствовать требованиям ТР ТС 004/2011 «О безопасности низковольтного оборудования»; ТР ТС 020/2011 «Электромагнитная совместимость технических средств»</w:t>
      </w:r>
      <w:r>
        <w:rPr>
          <w:rFonts w:ascii="Times New Roman" w:eastAsia="Times New Roman" w:hAnsi="Times New Roman" w:cs="Times New Roman"/>
          <w:i/>
          <w:spacing w:val="-3"/>
        </w:rPr>
        <w:br/>
        <w:t xml:space="preserve"> (ГОСТ IEC 61439-1-2013; ГОСТ 30804.6.2-2013; ГОСТ IEC 61000-6-4-2016.) </w:t>
      </w:r>
    </w:p>
    <w:p w14:paraId="23C100F1" w14:textId="77777777" w:rsidR="00E430A1" w:rsidRDefault="00E430A1" w:rsidP="00E430A1">
      <w:pPr>
        <w:pStyle w:val="a3"/>
        <w:rPr>
          <w:rFonts w:ascii="Times New Roman" w:hAnsi="Times New Roman" w:cs="Times New Roman"/>
          <w:i/>
          <w:spacing w:val="-2"/>
        </w:rPr>
      </w:pPr>
    </w:p>
    <w:p w14:paraId="03AEC9AD" w14:textId="77777777" w:rsidR="00E430A1" w:rsidRDefault="00E430A1" w:rsidP="00E430A1">
      <w:pPr>
        <w:widowControl w:val="0"/>
        <w:numPr>
          <w:ilvl w:val="1"/>
          <w:numId w:val="2"/>
        </w:numPr>
        <w:tabs>
          <w:tab w:val="left" w:pos="1697"/>
        </w:tabs>
        <w:spacing w:before="200" w:after="0" w:line="240" w:lineRule="auto"/>
        <w:ind w:right="521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  <w:spacing w:val="-2"/>
        </w:rPr>
        <w:t>Действующий аттестат аккредитации Российской испытательной лаборатории, Российского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органа по сертификации выданный Федеральной службой по аккредитации</w:t>
      </w:r>
      <w:r>
        <w:rPr>
          <w:rFonts w:ascii="Times New Roman" w:eastAsia="Times New Roman" w:hAnsi="Times New Roman" w:cs="Times New Roman"/>
          <w:i/>
          <w:spacing w:val="-2"/>
        </w:rPr>
        <w:t>, привлекаемых исполнителем.</w:t>
      </w:r>
    </w:p>
    <w:p w14:paraId="637BA5EC" w14:textId="77777777" w:rsidR="00E430A1" w:rsidRDefault="00E430A1" w:rsidP="00E430A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199931CB" w14:textId="77777777" w:rsidR="00E430A1" w:rsidRDefault="00E430A1" w:rsidP="00E430A1">
      <w:pPr>
        <w:widowControl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мероприятий</w:t>
      </w:r>
    </w:p>
    <w:p w14:paraId="2517F12B" w14:textId="77777777" w:rsidR="00E430A1" w:rsidRDefault="00E430A1" w:rsidP="00E430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228BCFD8" w14:textId="77777777" w:rsidR="00E430A1" w:rsidRDefault="00E430A1" w:rsidP="00E430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E430A1" w14:paraId="1C10D3E1" w14:textId="77777777" w:rsidTr="003974C5">
        <w:trPr>
          <w:trHeight w:val="969"/>
        </w:trPr>
        <w:tc>
          <w:tcPr>
            <w:tcW w:w="920" w:type="dxa"/>
            <w:vAlign w:val="center"/>
          </w:tcPr>
          <w:p w14:paraId="68B16769" w14:textId="77777777" w:rsidR="00E430A1" w:rsidRDefault="00E430A1" w:rsidP="003974C5">
            <w:pPr>
              <w:spacing w:before="3"/>
              <w:ind w:lef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  <w:vAlign w:val="center"/>
          </w:tcPr>
          <w:p w14:paraId="78D90E18" w14:textId="77777777" w:rsidR="00E430A1" w:rsidRDefault="00E430A1" w:rsidP="003974C5">
            <w:pPr>
              <w:spacing w:before="1"/>
              <w:ind w:left="56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  <w:vAlign w:val="center"/>
          </w:tcPr>
          <w:p w14:paraId="39FE9E96" w14:textId="77777777" w:rsidR="00E430A1" w:rsidRDefault="00E430A1" w:rsidP="003974C5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 календарных дней с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  <w:vAlign w:val="center"/>
          </w:tcPr>
          <w:p w14:paraId="7816C1AC" w14:textId="77777777" w:rsidR="00E430A1" w:rsidRDefault="00E430A1" w:rsidP="003974C5">
            <w:pPr>
              <w:spacing w:before="3" w:line="276" w:lineRule="auto"/>
              <w:ind w:left="379" w:right="340" w:firstLine="20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E430A1" w14:paraId="058AD9B0" w14:textId="77777777" w:rsidTr="003974C5">
        <w:trPr>
          <w:trHeight w:val="270"/>
        </w:trPr>
        <w:tc>
          <w:tcPr>
            <w:tcW w:w="920" w:type="dxa"/>
          </w:tcPr>
          <w:p w14:paraId="4C9D23E6" w14:textId="77777777" w:rsidR="00E430A1" w:rsidRDefault="00E430A1" w:rsidP="003974C5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  <w:vAlign w:val="center"/>
          </w:tcPr>
          <w:p w14:paraId="4376FB22" w14:textId="77777777" w:rsidR="00E430A1" w:rsidRDefault="00E430A1" w:rsidP="0039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Технические условия на всю линейку продукции (НКУ)</w:t>
            </w:r>
          </w:p>
        </w:tc>
        <w:tc>
          <w:tcPr>
            <w:tcW w:w="4023" w:type="dxa"/>
            <w:vAlign w:val="center"/>
          </w:tcPr>
          <w:p w14:paraId="468D1341" w14:textId="77777777" w:rsidR="00E430A1" w:rsidRDefault="00E430A1" w:rsidP="0039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844" w:type="dxa"/>
            <w:vAlign w:val="center"/>
          </w:tcPr>
          <w:p w14:paraId="2D287E87" w14:textId="77777777" w:rsidR="00E430A1" w:rsidRDefault="00E430A1" w:rsidP="0039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</w:t>
            </w:r>
          </w:p>
        </w:tc>
      </w:tr>
      <w:tr w:rsidR="00E430A1" w14:paraId="18DE61BB" w14:textId="77777777" w:rsidTr="003974C5">
        <w:trPr>
          <w:trHeight w:val="277"/>
        </w:trPr>
        <w:tc>
          <w:tcPr>
            <w:tcW w:w="920" w:type="dxa"/>
          </w:tcPr>
          <w:p w14:paraId="3ACDE3D8" w14:textId="77777777" w:rsidR="00E430A1" w:rsidRDefault="00E430A1" w:rsidP="003974C5">
            <w:pPr>
              <w:spacing w:before="1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80" w:type="dxa"/>
            <w:vAlign w:val="center"/>
          </w:tcPr>
          <w:p w14:paraId="07AAA413" w14:textId="77777777" w:rsidR="00E430A1" w:rsidRDefault="00E430A1" w:rsidP="0039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испытаний в Российской испытательной лаборатории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«ГОСТ IEC 61439-1-2013; ГОСТ 30804.6.2-2013; ГОСТ IEC 61000-6-4-2016»</w:t>
            </w:r>
          </w:p>
        </w:tc>
        <w:tc>
          <w:tcPr>
            <w:tcW w:w="4023" w:type="dxa"/>
            <w:vAlign w:val="center"/>
          </w:tcPr>
          <w:p w14:paraId="38650EC5" w14:textId="77777777" w:rsidR="00E430A1" w:rsidRDefault="00E430A1" w:rsidP="0039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1844" w:type="dxa"/>
            <w:vAlign w:val="center"/>
          </w:tcPr>
          <w:p w14:paraId="17F4794E" w14:textId="77777777" w:rsidR="00E430A1" w:rsidRDefault="00E430A1" w:rsidP="0039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Протокол испытаний</w:t>
            </w:r>
          </w:p>
        </w:tc>
      </w:tr>
      <w:tr w:rsidR="00E430A1" w14:paraId="5C680703" w14:textId="77777777" w:rsidTr="003974C5">
        <w:trPr>
          <w:trHeight w:val="266"/>
        </w:trPr>
        <w:tc>
          <w:tcPr>
            <w:tcW w:w="920" w:type="dxa"/>
          </w:tcPr>
          <w:p w14:paraId="265805D9" w14:textId="77777777" w:rsidR="00E430A1" w:rsidRDefault="00E430A1" w:rsidP="003974C5">
            <w:pPr>
              <w:spacing w:before="1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980" w:type="dxa"/>
            <w:vAlign w:val="center"/>
          </w:tcPr>
          <w:p w14:paraId="19E5112E" w14:textId="77777777" w:rsidR="00E430A1" w:rsidRDefault="00E430A1" w:rsidP="0039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Сертификат соответствия</w:t>
            </w:r>
          </w:p>
          <w:p w14:paraId="03D0BFCC" w14:textId="77777777" w:rsidR="00E430A1" w:rsidRDefault="00E430A1" w:rsidP="0039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004/2011, ТР ТС 020/2011</w:t>
            </w:r>
          </w:p>
        </w:tc>
        <w:tc>
          <w:tcPr>
            <w:tcW w:w="4023" w:type="dxa"/>
            <w:vAlign w:val="center"/>
          </w:tcPr>
          <w:p w14:paraId="7A5A9D6B" w14:textId="77777777" w:rsidR="00E430A1" w:rsidRDefault="00E430A1" w:rsidP="0039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844" w:type="dxa"/>
            <w:vAlign w:val="center"/>
          </w:tcPr>
          <w:p w14:paraId="01560770" w14:textId="77777777" w:rsidR="00E430A1" w:rsidRDefault="00E430A1" w:rsidP="0039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004/2011, ТР ТС 020/2011</w:t>
            </w:r>
          </w:p>
        </w:tc>
      </w:tr>
      <w:tr w:rsidR="00E430A1" w14:paraId="448B5B3A" w14:textId="77777777" w:rsidTr="003974C5">
        <w:trPr>
          <w:trHeight w:val="282"/>
        </w:trPr>
        <w:tc>
          <w:tcPr>
            <w:tcW w:w="4900" w:type="dxa"/>
            <w:gridSpan w:val="2"/>
          </w:tcPr>
          <w:p w14:paraId="1DE1E831" w14:textId="77777777" w:rsidR="00E430A1" w:rsidRDefault="00E430A1" w:rsidP="003974C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5867" w:type="dxa"/>
            <w:gridSpan w:val="2"/>
          </w:tcPr>
          <w:p w14:paraId="7E956688" w14:textId="723D336E" w:rsidR="00E430A1" w:rsidRPr="00E430A1" w:rsidRDefault="00E430A1" w:rsidP="00E430A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45</w:t>
            </w:r>
          </w:p>
        </w:tc>
      </w:tr>
    </w:tbl>
    <w:p w14:paraId="3137A899" w14:textId="77777777" w:rsidR="00E430A1" w:rsidRDefault="00E430A1" w:rsidP="00E430A1">
      <w:pPr>
        <w:widowControl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является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обязательным</w:t>
      </w:r>
    </w:p>
    <w:p w14:paraId="3F4BB7F8" w14:textId="77777777" w:rsidR="00E430A1" w:rsidRDefault="00E430A1" w:rsidP="00E430A1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7E0BCF" wp14:editId="3D97E695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220FA"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" fillcolor="black" stroked="f">
                <w10:wrap type="topAndBottom" anchorx="page"/>
              </v:rect>
            </w:pict>
          </mc:Fallback>
        </mc:AlternateContent>
      </w:r>
    </w:p>
    <w:p w14:paraId="56DD7C62" w14:textId="77777777" w:rsidR="00E430A1" w:rsidRDefault="00E430A1" w:rsidP="00E430A1">
      <w:pPr>
        <w:widowControl w:val="0"/>
        <w:tabs>
          <w:tab w:val="left" w:pos="2749"/>
        </w:tabs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услуги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</w:t>
      </w:r>
      <w:r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не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срока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4</w:t>
      </w:r>
      <w:r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>
        <w:rPr>
          <w:rFonts w:ascii="Times New Roman" w:eastAsia="Times New Roman" w:hAnsi="Times New Roman" w:cs="Times New Roman"/>
          <w:sz w:val="20"/>
        </w:rPr>
        <w:t>.</w:t>
      </w:r>
    </w:p>
    <w:p w14:paraId="09F9ACE6" w14:textId="77777777" w:rsidR="00E430A1" w:rsidRDefault="00E430A1" w:rsidP="00E430A1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E430A1">
          <w:type w:val="continuous"/>
          <w:pgSz w:w="11920" w:h="16850"/>
          <w:pgMar w:top="1340" w:right="0" w:bottom="280" w:left="200" w:header="720" w:footer="720" w:gutter="0"/>
          <w:cols w:space="720"/>
          <w:docGrid w:linePitch="360"/>
        </w:sectPr>
      </w:pPr>
    </w:p>
    <w:p w14:paraId="4A6A993E" w14:textId="77777777" w:rsidR="00E430A1" w:rsidRDefault="00E430A1" w:rsidP="00E430A1">
      <w:pPr>
        <w:widowControl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5. Требования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работ</w:t>
      </w:r>
    </w:p>
    <w:p w14:paraId="7685C75F" w14:textId="77777777" w:rsidR="00E430A1" w:rsidRDefault="00E430A1" w:rsidP="00E430A1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053E7E47" w14:textId="77777777" w:rsidR="00E430A1" w:rsidRDefault="00E430A1" w:rsidP="00E430A1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14:paraId="497F1986" w14:textId="77777777" w:rsidR="00E430A1" w:rsidRDefault="00E430A1" w:rsidP="00E430A1">
      <w:pPr>
        <w:widowControl w:val="0"/>
        <w:numPr>
          <w:ilvl w:val="0"/>
          <w:numId w:val="1"/>
        </w:numPr>
        <w:tabs>
          <w:tab w:val="left" w:pos="1445"/>
        </w:tabs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Технические условия на всю линейку продукции (низковольтные комплектные устройства) в 2х экземплярах на бумажном носителе;</w:t>
      </w:r>
    </w:p>
    <w:p w14:paraId="2C02F835" w14:textId="77777777" w:rsidR="00E430A1" w:rsidRDefault="00E430A1" w:rsidP="00E430A1">
      <w:pPr>
        <w:widowControl w:val="0"/>
        <w:numPr>
          <w:ilvl w:val="0"/>
          <w:numId w:val="1"/>
        </w:numPr>
        <w:tabs>
          <w:tab w:val="left" w:pos="1445"/>
        </w:tabs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Протокол испытаний на «НКУ. Шкаф управления» в 2х экземплярах на бумажном носителе;</w:t>
      </w:r>
    </w:p>
    <w:p w14:paraId="08F8CA85" w14:textId="77777777" w:rsidR="00E430A1" w:rsidRDefault="00E430A1" w:rsidP="00E430A1">
      <w:pPr>
        <w:widowControl w:val="0"/>
        <w:numPr>
          <w:ilvl w:val="0"/>
          <w:numId w:val="1"/>
        </w:numPr>
        <w:tabs>
          <w:tab w:val="left" w:pos="1445"/>
        </w:tabs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Сертификат соответствия требованиям ТР ТС 004/2011 «О безопасности низковольтного оборудования», ТР ТС 020/2011 «Электромагнитная совместимость технических средств» в 2х экземплярах на бумажном носителе.</w:t>
      </w:r>
    </w:p>
    <w:p w14:paraId="2D3BD83A" w14:textId="77777777" w:rsidR="00053ABB" w:rsidRDefault="00053ABB"/>
    <w:sectPr w:rsidR="00053AB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19C"/>
    <w:multiLevelType w:val="multilevel"/>
    <w:tmpl w:val="11C28A14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1" w15:restartNumberingAfterBreak="0">
    <w:nsid w:val="5DF07AAC"/>
    <w:multiLevelType w:val="hybridMultilevel"/>
    <w:tmpl w:val="C8BEAA14"/>
    <w:lvl w:ilvl="0" w:tplc="2F3EA5DA">
      <w:start w:val="1"/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sz w:val="22"/>
        <w:szCs w:val="22"/>
        <w:lang w:val="ru-RU" w:eastAsia="en-US" w:bidi="ar-SA"/>
      </w:rPr>
    </w:lvl>
    <w:lvl w:ilvl="1" w:tplc="1FBA755C">
      <w:start w:val="1"/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A71A0AD6">
      <w:start w:val="1"/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225EB300">
      <w:start w:val="1"/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936400CA">
      <w:start w:val="1"/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B86CB614">
      <w:start w:val="1"/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A0B6CFBA">
      <w:start w:val="1"/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CD0A73A0">
      <w:start w:val="1"/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3C3AEB78">
      <w:start w:val="1"/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755C127B"/>
    <w:multiLevelType w:val="multilevel"/>
    <w:tmpl w:val="C8029976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num w:numId="1" w16cid:durableId="125126607">
    <w:abstractNumId w:val="1"/>
  </w:num>
  <w:num w:numId="2" w16cid:durableId="567618950">
    <w:abstractNumId w:val="0"/>
  </w:num>
  <w:num w:numId="3" w16cid:durableId="475608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F5"/>
    <w:rsid w:val="00053ABB"/>
    <w:rsid w:val="00821AED"/>
    <w:rsid w:val="00E27BF5"/>
    <w:rsid w:val="00E4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A51E"/>
  <w15:chartTrackingRefBased/>
  <w15:docId w15:val="{DFBD4ABA-6F7A-4BE3-8644-13A61FB9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0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4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2022-09-20T06:39:00Z</dcterms:created>
  <dcterms:modified xsi:type="dcterms:W3CDTF">2022-09-20T06:42:00Z</dcterms:modified>
</cp:coreProperties>
</file>